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8CA8D" w14:textId="77777777" w:rsidR="00B53514" w:rsidRDefault="00FD571E">
      <w:pPr>
        <w:pBdr>
          <w:top w:val="nil"/>
          <w:left w:val="nil"/>
          <w:bottom w:val="nil"/>
          <w:right w:val="nil"/>
          <w:between w:val="nil"/>
        </w:pBdr>
        <w:ind w:left="270"/>
        <w:rPr>
          <w:rFonts w:ascii="Arial Black" w:eastAsia="Arial Black" w:hAnsi="Arial Black" w:cs="Arial Black"/>
          <w:b/>
          <w:color w:val="00143F"/>
          <w:sz w:val="22"/>
          <w:szCs w:val="22"/>
        </w:rPr>
      </w:pPr>
      <w:r>
        <w:rPr>
          <w:rFonts w:ascii="Arial Black" w:eastAsia="Arial Black" w:hAnsi="Arial Black" w:cs="Arial Black"/>
          <w:b/>
          <w:color w:val="00143F"/>
          <w:sz w:val="22"/>
          <w:szCs w:val="22"/>
        </w:rPr>
        <w:t>RETURN TO PLAY RECOMMENDATIONS</w:t>
      </w:r>
      <w:r>
        <w:rPr>
          <w:noProof/>
        </w:rPr>
        <mc:AlternateContent>
          <mc:Choice Requires="wpg">
            <w:drawing>
              <wp:anchor distT="0" distB="0" distL="114300" distR="114300" simplePos="0" relativeHeight="251658240" behindDoc="0" locked="0" layoutInCell="1" hidden="0" allowOverlap="1" wp14:anchorId="1B7839D7" wp14:editId="6E4FBBDA">
                <wp:simplePos x="0" y="0"/>
                <wp:positionH relativeFrom="column">
                  <wp:posOffset>3467100</wp:posOffset>
                </wp:positionH>
                <wp:positionV relativeFrom="paragraph">
                  <wp:posOffset>-469899</wp:posOffset>
                </wp:positionV>
                <wp:extent cx="3850640" cy="1161415"/>
                <wp:effectExtent l="0" t="0" r="0" b="0"/>
                <wp:wrapNone/>
                <wp:docPr id="7" name="Freeform: Shape 7"/>
                <wp:cNvGraphicFramePr/>
                <a:graphic xmlns:a="http://schemas.openxmlformats.org/drawingml/2006/main">
                  <a:graphicData uri="http://schemas.microsoft.com/office/word/2010/wordprocessingShape">
                    <wps:wsp>
                      <wps:cNvSpPr/>
                      <wps:spPr>
                        <a:xfrm flipH="1">
                          <a:off x="3434968" y="3213580"/>
                          <a:ext cx="3822065" cy="1132840"/>
                        </a:xfrm>
                        <a:custGeom>
                          <a:avLst/>
                          <a:gdLst/>
                          <a:ahLst/>
                          <a:cxnLst/>
                          <a:rect l="l" t="t" r="r" b="b"/>
                          <a:pathLst>
                            <a:path w="1231900" h="365125" extrusionOk="0">
                              <a:moveTo>
                                <a:pt x="0" y="0"/>
                              </a:moveTo>
                              <a:lnTo>
                                <a:pt x="1231900" y="0"/>
                              </a:lnTo>
                              <a:lnTo>
                                <a:pt x="0" y="365125"/>
                              </a:lnTo>
                              <a:lnTo>
                                <a:pt x="0" y="0"/>
                              </a:lnTo>
                              <a:close/>
                            </a:path>
                          </a:pathLst>
                        </a:custGeom>
                        <a:solidFill>
                          <a:srgbClr val="418FDE"/>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3467100</wp:posOffset>
                </wp:positionH>
                <wp:positionV relativeFrom="paragraph">
                  <wp:posOffset>-469899</wp:posOffset>
                </wp:positionV>
                <wp:extent cx="3850640" cy="1161415"/>
                <wp:effectExtent b="0" l="0" r="0" t="0"/>
                <wp:wrapNone/>
                <wp:docPr id="7"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3850640" cy="116141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03E696BB" wp14:editId="40313337">
                <wp:simplePos x="0" y="0"/>
                <wp:positionH relativeFrom="column">
                  <wp:posOffset>3810000</wp:posOffset>
                </wp:positionH>
                <wp:positionV relativeFrom="paragraph">
                  <wp:posOffset>-469899</wp:posOffset>
                </wp:positionV>
                <wp:extent cx="3506470" cy="1059180"/>
                <wp:effectExtent l="0" t="0" r="0" b="0"/>
                <wp:wrapNone/>
                <wp:docPr id="6" name="Freeform: Shape 6"/>
                <wp:cNvGraphicFramePr/>
                <a:graphic xmlns:a="http://schemas.openxmlformats.org/drawingml/2006/main">
                  <a:graphicData uri="http://schemas.microsoft.com/office/word/2010/wordprocessingShape">
                    <wps:wsp>
                      <wps:cNvSpPr/>
                      <wps:spPr>
                        <a:xfrm flipH="1">
                          <a:off x="3607053" y="3264698"/>
                          <a:ext cx="3477895" cy="1030605"/>
                        </a:xfrm>
                        <a:custGeom>
                          <a:avLst/>
                          <a:gdLst/>
                          <a:ahLst/>
                          <a:cxnLst/>
                          <a:rect l="l" t="t" r="r" b="b"/>
                          <a:pathLst>
                            <a:path w="1231900" h="365125" extrusionOk="0">
                              <a:moveTo>
                                <a:pt x="0" y="0"/>
                              </a:moveTo>
                              <a:lnTo>
                                <a:pt x="1231900" y="0"/>
                              </a:lnTo>
                              <a:lnTo>
                                <a:pt x="0" y="365125"/>
                              </a:lnTo>
                              <a:lnTo>
                                <a:pt x="0" y="0"/>
                              </a:lnTo>
                              <a:close/>
                            </a:path>
                          </a:pathLst>
                        </a:custGeom>
                        <a:solidFill>
                          <a:srgbClr val="00143F"/>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3810000</wp:posOffset>
                </wp:positionH>
                <wp:positionV relativeFrom="paragraph">
                  <wp:posOffset>-469899</wp:posOffset>
                </wp:positionV>
                <wp:extent cx="3506470" cy="1059180"/>
                <wp:effectExtent b="0" l="0" r="0" t="0"/>
                <wp:wrapNone/>
                <wp:docPr id="6"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3506470" cy="1059180"/>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14:anchorId="3A86900F" wp14:editId="57516970">
            <wp:simplePos x="0" y="0"/>
            <wp:positionH relativeFrom="column">
              <wp:posOffset>6092825</wp:posOffset>
            </wp:positionH>
            <wp:positionV relativeFrom="paragraph">
              <wp:posOffset>-407323</wp:posOffset>
            </wp:positionV>
            <wp:extent cx="1141095" cy="636270"/>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141095" cy="636270"/>
                    </a:xfrm>
                    <a:prstGeom prst="rect">
                      <a:avLst/>
                    </a:prstGeom>
                    <a:ln/>
                  </pic:spPr>
                </pic:pic>
              </a:graphicData>
            </a:graphic>
          </wp:anchor>
        </w:drawing>
      </w:r>
    </w:p>
    <w:p w14:paraId="57FF7171" w14:textId="77777777" w:rsidR="00B53514" w:rsidRDefault="00FD571E">
      <w:pPr>
        <w:ind w:left="280"/>
        <w:rPr>
          <w:rFonts w:ascii="Arial" w:eastAsia="Arial" w:hAnsi="Arial" w:cs="Arial"/>
          <w:b/>
          <w:color w:val="418FDE"/>
          <w:sz w:val="22"/>
          <w:szCs w:val="22"/>
        </w:rPr>
      </w:pPr>
      <w:r>
        <w:rPr>
          <w:rFonts w:ascii="Arial" w:eastAsia="Arial" w:hAnsi="Arial" w:cs="Arial"/>
          <w:b/>
          <w:color w:val="418FDE"/>
          <w:sz w:val="22"/>
          <w:szCs w:val="22"/>
        </w:rPr>
        <w:t xml:space="preserve">USTA ADULT LEAGUE     </w:t>
      </w:r>
    </w:p>
    <w:p w14:paraId="7DAFDD61" w14:textId="77777777" w:rsidR="00B53514" w:rsidRDefault="00FD571E">
      <w:pPr>
        <w:ind w:left="280"/>
        <w:rPr>
          <w:rFonts w:ascii="Arial" w:eastAsia="Arial" w:hAnsi="Arial" w:cs="Arial"/>
          <w:color w:val="888B8D"/>
          <w:sz w:val="20"/>
          <w:szCs w:val="20"/>
        </w:rPr>
      </w:pPr>
      <w:r>
        <w:rPr>
          <w:rFonts w:ascii="Arial" w:eastAsia="Arial" w:hAnsi="Arial" w:cs="Arial"/>
          <w:color w:val="888B8D"/>
          <w:sz w:val="20"/>
          <w:szCs w:val="20"/>
        </w:rPr>
        <w:t>Updated May 14, 2020</w:t>
      </w:r>
    </w:p>
    <w:p w14:paraId="5ECCD091" w14:textId="77777777" w:rsidR="00B53514" w:rsidRDefault="00B53514">
      <w:pPr>
        <w:ind w:left="280"/>
        <w:rPr>
          <w:rFonts w:ascii="Arial" w:eastAsia="Arial" w:hAnsi="Arial" w:cs="Arial"/>
          <w:color w:val="888B8D"/>
          <w:sz w:val="20"/>
          <w:szCs w:val="20"/>
        </w:rPr>
      </w:pPr>
    </w:p>
    <w:p w14:paraId="726A2E1A" w14:textId="77777777" w:rsidR="00B53514" w:rsidRDefault="00FD571E">
      <w:pPr>
        <w:ind w:left="274"/>
        <w:rPr>
          <w:rFonts w:ascii="Arial" w:eastAsia="Arial" w:hAnsi="Arial" w:cs="Arial"/>
          <w:sz w:val="20"/>
          <w:szCs w:val="20"/>
        </w:rPr>
      </w:pPr>
      <w:r>
        <w:rPr>
          <w:rFonts w:ascii="Arial" w:eastAsia="Arial" w:hAnsi="Arial" w:cs="Arial"/>
          <w:sz w:val="20"/>
          <w:szCs w:val="20"/>
        </w:rPr>
        <w:t xml:space="preserve">The United States Tennis Association (USTA) recognizes that the COVID-19 pandemic has been affecting different parts of the country in different ways and with different timing. Therefore, we believe safely returning to play will be possible in some cities and states sooner than in others. Before doing so, please review federal, </w:t>
      </w:r>
      <w:proofErr w:type="gramStart"/>
      <w:r>
        <w:rPr>
          <w:rFonts w:ascii="Arial" w:eastAsia="Arial" w:hAnsi="Arial" w:cs="Arial"/>
          <w:sz w:val="20"/>
          <w:szCs w:val="20"/>
        </w:rPr>
        <w:t>state</w:t>
      </w:r>
      <w:proofErr w:type="gramEnd"/>
      <w:r>
        <w:rPr>
          <w:rFonts w:ascii="Arial" w:eastAsia="Arial" w:hAnsi="Arial" w:cs="Arial"/>
          <w:sz w:val="20"/>
          <w:szCs w:val="20"/>
        </w:rPr>
        <w:t xml:space="preserve"> and local guidelines to make informed decisions as to when play can recommence.</w:t>
      </w:r>
    </w:p>
    <w:p w14:paraId="6E779D12" w14:textId="77777777" w:rsidR="00B53514" w:rsidRDefault="00B53514">
      <w:pPr>
        <w:ind w:left="274" w:right="1080"/>
        <w:rPr>
          <w:rFonts w:ascii="Arial" w:eastAsia="Arial" w:hAnsi="Arial" w:cs="Arial"/>
          <w:sz w:val="20"/>
          <w:szCs w:val="20"/>
        </w:rPr>
      </w:pPr>
      <w:bookmarkStart w:id="0" w:name="_heading=h.gjdgxs" w:colFirst="0" w:colLast="0"/>
      <w:bookmarkEnd w:id="0"/>
    </w:p>
    <w:p w14:paraId="7DD19EAA" w14:textId="77777777" w:rsidR="00B53514" w:rsidRDefault="00FD571E">
      <w:pPr>
        <w:ind w:left="274" w:right="1080"/>
        <w:rPr>
          <w:rFonts w:ascii="Arial" w:eastAsia="Arial" w:hAnsi="Arial" w:cs="Arial"/>
          <w:sz w:val="20"/>
          <w:szCs w:val="20"/>
        </w:rPr>
      </w:pPr>
      <w:bookmarkStart w:id="1" w:name="_heading=h.30j0zll" w:colFirst="0" w:colLast="0"/>
      <w:bookmarkEnd w:id="1"/>
      <w:r>
        <w:rPr>
          <w:rFonts w:ascii="Arial" w:eastAsia="Arial" w:hAnsi="Arial" w:cs="Arial"/>
          <w:sz w:val="20"/>
          <w:szCs w:val="20"/>
        </w:rPr>
        <w:t xml:space="preserve">In addition to the Playing Tennis Safely recommendations for players, facilities, and programming issued by the USTA on April 22, 2020, available on tennisindustryunited.com, here are some additional recommendations to consider when hosting a USTA Adult League. </w:t>
      </w:r>
    </w:p>
    <w:p w14:paraId="6DC0EBF2" w14:textId="77777777" w:rsidR="00B53514" w:rsidRDefault="00B53514">
      <w:pPr>
        <w:ind w:left="270"/>
        <w:rPr>
          <w:rFonts w:ascii="Arial" w:eastAsia="Arial" w:hAnsi="Arial" w:cs="Arial"/>
          <w:b/>
          <w:sz w:val="20"/>
          <w:szCs w:val="20"/>
        </w:rPr>
      </w:pPr>
    </w:p>
    <w:tbl>
      <w:tblPr>
        <w:tblStyle w:val="a0"/>
        <w:tblW w:w="10250" w:type="dxa"/>
        <w:tblInd w:w="270" w:type="dxa"/>
        <w:tblBorders>
          <w:top w:val="single" w:sz="4" w:space="0" w:color="C1C6C8"/>
          <w:left w:val="single" w:sz="4" w:space="0" w:color="C1C6C8"/>
          <w:bottom w:val="single" w:sz="4" w:space="0" w:color="C1C6C8"/>
          <w:right w:val="single" w:sz="4" w:space="0" w:color="C1C6C8"/>
          <w:insideH w:val="single" w:sz="4" w:space="0" w:color="C1C6C8"/>
          <w:insideV w:val="single" w:sz="4" w:space="0" w:color="C1C6C8"/>
        </w:tblBorders>
        <w:tblLayout w:type="fixed"/>
        <w:tblLook w:val="04A0" w:firstRow="1" w:lastRow="0" w:firstColumn="1" w:lastColumn="0" w:noHBand="0" w:noVBand="1"/>
      </w:tblPr>
      <w:tblGrid>
        <w:gridCol w:w="5035"/>
        <w:gridCol w:w="5215"/>
      </w:tblGrid>
      <w:tr w:rsidR="00B53514" w14:paraId="47A7359C" w14:textId="77777777" w:rsidTr="00B53514">
        <w:trPr>
          <w:cnfStyle w:val="100000000000" w:firstRow="1" w:lastRow="0" w:firstColumn="0" w:lastColumn="0" w:oddVBand="0" w:evenVBand="0" w:oddHBand="0"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5035" w:type="dxa"/>
            <w:shd w:val="clear" w:color="auto" w:fill="418FDE"/>
            <w:vAlign w:val="center"/>
          </w:tcPr>
          <w:p w14:paraId="1D289D6D" w14:textId="77777777" w:rsidR="00B53514" w:rsidRDefault="00FD571E">
            <w:pPr>
              <w:ind w:right="341"/>
              <w:rPr>
                <w:rFonts w:ascii="Arial" w:eastAsia="Arial" w:hAnsi="Arial" w:cs="Arial"/>
                <w:sz w:val="20"/>
                <w:szCs w:val="20"/>
              </w:rPr>
            </w:pPr>
            <w:r>
              <w:rPr>
                <w:rFonts w:ascii="Arial" w:eastAsia="Arial" w:hAnsi="Arial" w:cs="Arial"/>
                <w:sz w:val="20"/>
                <w:szCs w:val="20"/>
              </w:rPr>
              <w:t>FORMAT / PLAY MODIFICATIONS</w:t>
            </w:r>
          </w:p>
        </w:tc>
        <w:tc>
          <w:tcPr>
            <w:tcW w:w="5215" w:type="dxa"/>
            <w:shd w:val="clear" w:color="auto" w:fill="418FDE"/>
            <w:vAlign w:val="center"/>
          </w:tcPr>
          <w:p w14:paraId="3A2C117A" w14:textId="77777777" w:rsidR="00B53514" w:rsidRDefault="00FD571E">
            <w:pPr>
              <w:ind w:right="328"/>
              <w:cnfStyle w:val="100000000000" w:firstRow="1"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FACILITY RECOMMENDATIONS</w:t>
            </w:r>
          </w:p>
        </w:tc>
      </w:tr>
      <w:tr w:rsidR="00B53514" w14:paraId="723BC584" w14:textId="77777777" w:rsidTr="00B53514">
        <w:trPr>
          <w:cnfStyle w:val="000000100000" w:firstRow="0" w:lastRow="0" w:firstColumn="0" w:lastColumn="0" w:oddVBand="0" w:evenVBand="0" w:oddHBand="1" w:evenHBand="0" w:firstRowFirstColumn="0" w:firstRowLastColumn="0" w:lastRowFirstColumn="0" w:lastRowLastColumn="0"/>
          <w:trHeight w:val="10054"/>
        </w:trPr>
        <w:tc>
          <w:tcPr>
            <w:cnfStyle w:val="001000000000" w:firstRow="0" w:lastRow="0" w:firstColumn="1" w:lastColumn="0" w:oddVBand="0" w:evenVBand="0" w:oddHBand="0" w:evenHBand="0" w:firstRowFirstColumn="0" w:firstRowLastColumn="0" w:lastRowFirstColumn="0" w:lastRowLastColumn="0"/>
            <w:tcW w:w="5035" w:type="dxa"/>
            <w:tcBorders>
              <w:top w:val="nil"/>
              <w:left w:val="nil"/>
              <w:bottom w:val="nil"/>
            </w:tcBorders>
          </w:tcPr>
          <w:p w14:paraId="74C075AA" w14:textId="77777777" w:rsidR="00B53514" w:rsidRDefault="00FD571E">
            <w:pPr>
              <w:numPr>
                <w:ilvl w:val="0"/>
                <w:numId w:val="1"/>
              </w:numPr>
              <w:spacing w:before="120"/>
              <w:ind w:left="337" w:right="245"/>
              <w:rPr>
                <w:color w:val="000000"/>
                <w:sz w:val="20"/>
                <w:szCs w:val="20"/>
              </w:rPr>
            </w:pPr>
            <w:r>
              <w:rPr>
                <w:rFonts w:ascii="Arial" w:eastAsia="Arial" w:hAnsi="Arial" w:cs="Arial"/>
                <w:b w:val="0"/>
                <w:color w:val="000000"/>
                <w:sz w:val="20"/>
                <w:szCs w:val="20"/>
                <w:highlight w:val="white"/>
              </w:rPr>
              <w:t>Use alternate scoring formats and stagger match courts and times to decrease the amount of time on-site per player.</w:t>
            </w:r>
          </w:p>
          <w:p w14:paraId="166EEC5A" w14:textId="77777777" w:rsidR="00B53514" w:rsidRDefault="00B53514">
            <w:pPr>
              <w:spacing w:before="120"/>
              <w:ind w:right="245"/>
              <w:rPr>
                <w:rFonts w:ascii="Arial" w:eastAsia="Arial" w:hAnsi="Arial" w:cs="Arial"/>
                <w:color w:val="000000"/>
                <w:sz w:val="20"/>
                <w:szCs w:val="20"/>
              </w:rPr>
            </w:pPr>
          </w:p>
          <w:p w14:paraId="386DFA42" w14:textId="77777777" w:rsidR="00B53514" w:rsidRDefault="00FD571E">
            <w:pPr>
              <w:spacing w:before="120"/>
              <w:ind w:right="245"/>
              <w:rPr>
                <w:rFonts w:ascii="Arial" w:eastAsia="Arial" w:hAnsi="Arial" w:cs="Arial"/>
                <w:color w:val="000000"/>
                <w:sz w:val="20"/>
                <w:szCs w:val="20"/>
              </w:rPr>
            </w:pPr>
            <w:r>
              <w:rPr>
                <w:rFonts w:ascii="Arial" w:eastAsia="Arial" w:hAnsi="Arial" w:cs="Arial"/>
                <w:color w:val="000000"/>
                <w:sz w:val="20"/>
                <w:szCs w:val="20"/>
              </w:rPr>
              <w:t>Advise Players to:</w:t>
            </w:r>
          </w:p>
          <w:p w14:paraId="6E268D57" w14:textId="77777777" w:rsidR="00B53514" w:rsidRDefault="00FD571E">
            <w:pPr>
              <w:numPr>
                <w:ilvl w:val="0"/>
                <w:numId w:val="1"/>
              </w:numPr>
              <w:spacing w:before="120"/>
              <w:ind w:left="337" w:right="245"/>
              <w:rPr>
                <w:color w:val="000000"/>
                <w:sz w:val="20"/>
                <w:szCs w:val="20"/>
              </w:rPr>
            </w:pPr>
            <w:r>
              <w:rPr>
                <w:rFonts w:ascii="Arial" w:eastAsia="Arial" w:hAnsi="Arial" w:cs="Arial"/>
                <w:b w:val="0"/>
                <w:color w:val="000000"/>
                <w:sz w:val="20"/>
                <w:szCs w:val="20"/>
              </w:rPr>
              <w:t>Check with the host facility ahead of time for any protocols that may apply at that facility.</w:t>
            </w:r>
          </w:p>
          <w:p w14:paraId="58093ADD" w14:textId="77777777" w:rsidR="00B53514" w:rsidRDefault="00FD571E">
            <w:pPr>
              <w:numPr>
                <w:ilvl w:val="0"/>
                <w:numId w:val="1"/>
              </w:numPr>
              <w:spacing w:before="120"/>
              <w:ind w:left="337" w:right="336"/>
              <w:rPr>
                <w:color w:val="000000"/>
                <w:sz w:val="20"/>
                <w:szCs w:val="20"/>
              </w:rPr>
            </w:pPr>
            <w:r>
              <w:rPr>
                <w:rFonts w:ascii="Arial" w:eastAsia="Arial" w:hAnsi="Arial" w:cs="Arial"/>
                <w:b w:val="0"/>
                <w:color w:val="000000"/>
                <w:sz w:val="20"/>
                <w:szCs w:val="20"/>
              </w:rPr>
              <w:t>Arrive at the facility close to assigned start time, ready to play, and depart immediately.</w:t>
            </w:r>
          </w:p>
          <w:p w14:paraId="75241EA7" w14:textId="77777777" w:rsidR="00B53514" w:rsidRDefault="00FD571E">
            <w:pPr>
              <w:numPr>
                <w:ilvl w:val="0"/>
                <w:numId w:val="1"/>
              </w:numPr>
              <w:spacing w:before="120"/>
              <w:ind w:left="337" w:right="336"/>
              <w:rPr>
                <w:color w:val="000000"/>
                <w:sz w:val="20"/>
                <w:szCs w:val="20"/>
              </w:rPr>
            </w:pPr>
            <w:r>
              <w:rPr>
                <w:rFonts w:ascii="Arial" w:eastAsia="Arial" w:hAnsi="Arial" w:cs="Arial"/>
                <w:b w:val="0"/>
                <w:color w:val="000000"/>
                <w:sz w:val="20"/>
                <w:szCs w:val="20"/>
              </w:rPr>
              <w:t>Bring their own water bottles, towel, or any other personal equipment and store them inside their tennis bag when not in use.</w:t>
            </w:r>
          </w:p>
          <w:p w14:paraId="05B8DBDE" w14:textId="77777777" w:rsidR="00B53514" w:rsidRDefault="00FD571E">
            <w:pPr>
              <w:numPr>
                <w:ilvl w:val="0"/>
                <w:numId w:val="1"/>
              </w:numPr>
              <w:spacing w:before="120"/>
              <w:ind w:left="337" w:right="245"/>
              <w:rPr>
                <w:color w:val="000000"/>
                <w:sz w:val="20"/>
                <w:szCs w:val="20"/>
              </w:rPr>
            </w:pPr>
            <w:r>
              <w:rPr>
                <w:rFonts w:ascii="Arial" w:eastAsia="Arial" w:hAnsi="Arial" w:cs="Arial"/>
                <w:b w:val="0"/>
                <w:color w:val="000000"/>
                <w:sz w:val="20"/>
                <w:szCs w:val="20"/>
              </w:rPr>
              <w:t>Bring their own chairs and avoid sharing a bench with a teammate and/or opponent.</w:t>
            </w:r>
          </w:p>
          <w:p w14:paraId="1FD7760B" w14:textId="77777777" w:rsidR="00B53514" w:rsidRDefault="00FD571E">
            <w:pPr>
              <w:numPr>
                <w:ilvl w:val="0"/>
                <w:numId w:val="1"/>
              </w:numPr>
              <w:spacing w:before="120"/>
              <w:ind w:left="337" w:right="245"/>
              <w:rPr>
                <w:color w:val="000000"/>
                <w:sz w:val="20"/>
                <w:szCs w:val="20"/>
              </w:rPr>
            </w:pPr>
            <w:r>
              <w:rPr>
                <w:rFonts w:ascii="Arial" w:eastAsia="Arial" w:hAnsi="Arial" w:cs="Arial"/>
                <w:b w:val="0"/>
                <w:color w:val="000000"/>
                <w:sz w:val="20"/>
                <w:szCs w:val="20"/>
              </w:rPr>
              <w:t xml:space="preserve">Use headbands, hats, </w:t>
            </w:r>
            <w:proofErr w:type="gramStart"/>
            <w:r>
              <w:rPr>
                <w:rFonts w:ascii="Arial" w:eastAsia="Arial" w:hAnsi="Arial" w:cs="Arial"/>
                <w:b w:val="0"/>
                <w:color w:val="000000"/>
                <w:sz w:val="20"/>
                <w:szCs w:val="20"/>
              </w:rPr>
              <w:t>towels</w:t>
            </w:r>
            <w:proofErr w:type="gramEnd"/>
            <w:r>
              <w:rPr>
                <w:rFonts w:ascii="Arial" w:eastAsia="Arial" w:hAnsi="Arial" w:cs="Arial"/>
                <w:b w:val="0"/>
                <w:color w:val="000000"/>
                <w:sz w:val="20"/>
                <w:szCs w:val="20"/>
              </w:rPr>
              <w:t xml:space="preserve"> or wristbands to avoid touching their faces during play.</w:t>
            </w:r>
          </w:p>
          <w:p w14:paraId="27D845C9" w14:textId="77777777" w:rsidR="00B53514" w:rsidRDefault="00FD571E">
            <w:pPr>
              <w:numPr>
                <w:ilvl w:val="0"/>
                <w:numId w:val="1"/>
              </w:numPr>
              <w:spacing w:before="120"/>
              <w:ind w:left="337" w:right="336"/>
              <w:rPr>
                <w:color w:val="000000"/>
                <w:sz w:val="20"/>
                <w:szCs w:val="20"/>
              </w:rPr>
            </w:pPr>
            <w:r>
              <w:rPr>
                <w:rFonts w:ascii="Arial" w:eastAsia="Arial" w:hAnsi="Arial" w:cs="Arial"/>
                <w:b w:val="0"/>
                <w:color w:val="000000"/>
                <w:sz w:val="20"/>
                <w:szCs w:val="20"/>
              </w:rPr>
              <w:t>Wash hands often (before / after matches.)</w:t>
            </w:r>
          </w:p>
          <w:p w14:paraId="2EF9F5EE" w14:textId="77777777" w:rsidR="00B53514" w:rsidRDefault="00FD571E">
            <w:pPr>
              <w:numPr>
                <w:ilvl w:val="0"/>
                <w:numId w:val="1"/>
              </w:numPr>
              <w:spacing w:before="120"/>
              <w:ind w:left="337" w:right="245"/>
              <w:rPr>
                <w:color w:val="000000"/>
                <w:sz w:val="20"/>
                <w:szCs w:val="20"/>
              </w:rPr>
            </w:pPr>
            <w:r>
              <w:rPr>
                <w:rFonts w:ascii="Arial" w:eastAsia="Arial" w:hAnsi="Arial" w:cs="Arial"/>
                <w:b w:val="0"/>
                <w:color w:val="000000"/>
                <w:sz w:val="20"/>
                <w:szCs w:val="20"/>
              </w:rPr>
              <w:t>Clearly verbalize score at the start of each point</w:t>
            </w:r>
            <w:r>
              <w:rPr>
                <w:color w:val="000000"/>
                <w:sz w:val="20"/>
                <w:szCs w:val="20"/>
              </w:rPr>
              <w:t xml:space="preserve"> </w:t>
            </w:r>
            <w:r>
              <w:rPr>
                <w:rFonts w:ascii="Arial" w:eastAsia="Arial" w:hAnsi="Arial" w:cs="Arial"/>
                <w:b w:val="0"/>
                <w:color w:val="000000"/>
                <w:sz w:val="20"/>
                <w:szCs w:val="20"/>
              </w:rPr>
              <w:t>and</w:t>
            </w:r>
            <w:r>
              <w:rPr>
                <w:color w:val="000000"/>
                <w:sz w:val="20"/>
                <w:szCs w:val="20"/>
              </w:rPr>
              <w:t xml:space="preserve"> </w:t>
            </w:r>
            <w:r>
              <w:rPr>
                <w:rFonts w:ascii="Arial" w:eastAsia="Arial" w:hAnsi="Arial" w:cs="Arial"/>
                <w:b w:val="0"/>
                <w:color w:val="000000"/>
                <w:sz w:val="20"/>
                <w:szCs w:val="20"/>
              </w:rPr>
              <w:t>use technology to report scores (text and email.)</w:t>
            </w:r>
          </w:p>
          <w:p w14:paraId="465C70FF" w14:textId="77777777" w:rsidR="00B53514" w:rsidRDefault="00FD571E">
            <w:pPr>
              <w:numPr>
                <w:ilvl w:val="0"/>
                <w:numId w:val="1"/>
              </w:numPr>
              <w:spacing w:before="120"/>
              <w:ind w:left="337" w:right="245"/>
              <w:rPr>
                <w:color w:val="000000"/>
                <w:sz w:val="20"/>
                <w:szCs w:val="20"/>
              </w:rPr>
            </w:pPr>
            <w:r>
              <w:rPr>
                <w:rFonts w:ascii="Arial" w:eastAsia="Arial" w:hAnsi="Arial" w:cs="Arial"/>
                <w:b w:val="0"/>
                <w:color w:val="000000"/>
                <w:sz w:val="20"/>
                <w:szCs w:val="20"/>
              </w:rPr>
              <w:t>Maintain safe social distance between players during the racquet spin at the start of a match.</w:t>
            </w:r>
          </w:p>
          <w:p w14:paraId="6367AFB1" w14:textId="77777777" w:rsidR="00B53514" w:rsidRDefault="00FD571E">
            <w:pPr>
              <w:numPr>
                <w:ilvl w:val="0"/>
                <w:numId w:val="1"/>
              </w:numPr>
              <w:spacing w:before="120"/>
              <w:ind w:left="337" w:right="245"/>
              <w:rPr>
                <w:color w:val="000000"/>
                <w:sz w:val="20"/>
                <w:szCs w:val="20"/>
              </w:rPr>
            </w:pPr>
            <w:r>
              <w:rPr>
                <w:rFonts w:ascii="Arial" w:eastAsia="Arial" w:hAnsi="Arial" w:cs="Arial"/>
                <w:b w:val="0"/>
                <w:color w:val="000000"/>
                <w:sz w:val="20"/>
                <w:szCs w:val="20"/>
                <w:highlight w:val="white"/>
              </w:rPr>
              <w:t>Players should stay on their side of the court and avoid changing ends.</w:t>
            </w:r>
          </w:p>
          <w:p w14:paraId="1BCBF6F7" w14:textId="77777777" w:rsidR="00B53514" w:rsidRDefault="00FD571E">
            <w:pPr>
              <w:numPr>
                <w:ilvl w:val="0"/>
                <w:numId w:val="1"/>
              </w:numPr>
              <w:spacing w:before="120"/>
              <w:ind w:left="337" w:right="245"/>
              <w:rPr>
                <w:color w:val="000000"/>
                <w:sz w:val="20"/>
                <w:szCs w:val="20"/>
              </w:rPr>
            </w:pPr>
            <w:r>
              <w:rPr>
                <w:rFonts w:ascii="Arial" w:eastAsia="Arial" w:hAnsi="Arial" w:cs="Arial"/>
                <w:b w:val="0"/>
                <w:color w:val="000000"/>
                <w:sz w:val="20"/>
                <w:szCs w:val="20"/>
              </w:rPr>
              <w:t>Offer an acknowledgment such as a nod, a thumbs up or a “good match” instead of shaking players’ hands.</w:t>
            </w:r>
          </w:p>
        </w:tc>
        <w:tc>
          <w:tcPr>
            <w:tcW w:w="5215" w:type="dxa"/>
            <w:tcBorders>
              <w:top w:val="nil"/>
              <w:bottom w:val="nil"/>
              <w:right w:val="nil"/>
            </w:tcBorders>
          </w:tcPr>
          <w:p w14:paraId="7ACE1727" w14:textId="77777777" w:rsidR="00B53514" w:rsidRDefault="00FD571E">
            <w:pPr>
              <w:numPr>
                <w:ilvl w:val="0"/>
                <w:numId w:val="1"/>
              </w:numPr>
              <w:spacing w:before="120"/>
              <w:ind w:left="338" w:right="336"/>
              <w:cnfStyle w:val="000000100000" w:firstRow="0" w:lastRow="0" w:firstColumn="0" w:lastColumn="0" w:oddVBand="0" w:evenVBand="0" w:oddHBand="1" w:evenHBand="0" w:firstRowFirstColumn="0" w:firstRowLastColumn="0" w:lastRowFirstColumn="0" w:lastRowLastColumn="0"/>
              <w:rPr>
                <w:color w:val="000000"/>
                <w:sz w:val="20"/>
                <w:szCs w:val="20"/>
              </w:rPr>
            </w:pPr>
            <w:r>
              <w:rPr>
                <w:rFonts w:ascii="Arial" w:eastAsia="Arial" w:hAnsi="Arial" w:cs="Arial"/>
                <w:color w:val="000000"/>
                <w:sz w:val="20"/>
                <w:szCs w:val="20"/>
              </w:rPr>
              <w:t xml:space="preserve">Follow all state and CDC guidelines </w:t>
            </w:r>
            <w:proofErr w:type="gramStart"/>
            <w:r>
              <w:rPr>
                <w:rFonts w:ascii="Arial" w:eastAsia="Arial" w:hAnsi="Arial" w:cs="Arial"/>
                <w:color w:val="000000"/>
                <w:sz w:val="20"/>
                <w:szCs w:val="20"/>
              </w:rPr>
              <w:t>in reference to</w:t>
            </w:r>
            <w:proofErr w:type="gramEnd"/>
            <w:r>
              <w:rPr>
                <w:rFonts w:ascii="Arial" w:eastAsia="Arial" w:hAnsi="Arial" w:cs="Arial"/>
                <w:color w:val="000000"/>
                <w:sz w:val="20"/>
                <w:szCs w:val="20"/>
              </w:rPr>
              <w:t xml:space="preserve"> cleaning and disinfecting of all facility areas.</w:t>
            </w:r>
          </w:p>
          <w:p w14:paraId="4F5B2090" w14:textId="77777777" w:rsidR="00B53514" w:rsidRDefault="00FD571E">
            <w:pPr>
              <w:numPr>
                <w:ilvl w:val="0"/>
                <w:numId w:val="1"/>
              </w:numPr>
              <w:spacing w:before="120"/>
              <w:ind w:left="338" w:right="336"/>
              <w:cnfStyle w:val="000000100000" w:firstRow="0" w:lastRow="0" w:firstColumn="0" w:lastColumn="0" w:oddVBand="0" w:evenVBand="0" w:oddHBand="1" w:evenHBand="0" w:firstRowFirstColumn="0" w:firstRowLastColumn="0" w:lastRowFirstColumn="0" w:lastRowLastColumn="0"/>
              <w:rPr>
                <w:color w:val="000000"/>
                <w:sz w:val="20"/>
                <w:szCs w:val="20"/>
              </w:rPr>
            </w:pPr>
            <w:r>
              <w:rPr>
                <w:rFonts w:ascii="Arial" w:eastAsia="Arial" w:hAnsi="Arial" w:cs="Arial"/>
                <w:color w:val="000000"/>
                <w:sz w:val="20"/>
                <w:szCs w:val="20"/>
              </w:rPr>
              <w:t>Post safety notices for players, officials, and spectators.</w:t>
            </w:r>
          </w:p>
          <w:p w14:paraId="75FD15A4" w14:textId="77777777" w:rsidR="00B53514" w:rsidRDefault="00FD571E">
            <w:pPr>
              <w:numPr>
                <w:ilvl w:val="0"/>
                <w:numId w:val="1"/>
              </w:numPr>
              <w:spacing w:before="120"/>
              <w:ind w:left="338" w:right="336"/>
              <w:cnfStyle w:val="000000100000" w:firstRow="0" w:lastRow="0" w:firstColumn="0" w:lastColumn="0" w:oddVBand="0" w:evenVBand="0" w:oddHBand="1" w:evenHBand="0" w:firstRowFirstColumn="0" w:firstRowLastColumn="0" w:lastRowFirstColumn="0" w:lastRowLastColumn="0"/>
              <w:rPr>
                <w:color w:val="000000"/>
                <w:sz w:val="20"/>
                <w:szCs w:val="20"/>
              </w:rPr>
            </w:pPr>
            <w:r>
              <w:rPr>
                <w:rFonts w:ascii="Arial" w:eastAsia="Arial" w:hAnsi="Arial" w:cs="Arial"/>
                <w:color w:val="000000"/>
                <w:sz w:val="20"/>
                <w:szCs w:val="20"/>
              </w:rPr>
              <w:t>Provide antibacterial wipes and hand sanitizer near all courts and common areas.</w:t>
            </w:r>
          </w:p>
          <w:p w14:paraId="093432E9" w14:textId="77777777" w:rsidR="00B53514" w:rsidRDefault="00FD571E">
            <w:pPr>
              <w:numPr>
                <w:ilvl w:val="0"/>
                <w:numId w:val="1"/>
              </w:numPr>
              <w:spacing w:before="120"/>
              <w:ind w:left="338" w:right="336"/>
              <w:cnfStyle w:val="000000100000" w:firstRow="0" w:lastRow="0" w:firstColumn="0" w:lastColumn="0" w:oddVBand="0" w:evenVBand="0" w:oddHBand="1" w:evenHBand="0" w:firstRowFirstColumn="0" w:firstRowLastColumn="0" w:lastRowFirstColumn="0" w:lastRowLastColumn="0"/>
              <w:rPr>
                <w:color w:val="000000"/>
                <w:sz w:val="20"/>
                <w:szCs w:val="20"/>
              </w:rPr>
            </w:pPr>
            <w:r>
              <w:rPr>
                <w:rFonts w:ascii="Arial" w:eastAsia="Arial" w:hAnsi="Arial" w:cs="Arial"/>
                <w:color w:val="000000"/>
                <w:sz w:val="20"/>
                <w:szCs w:val="20"/>
              </w:rPr>
              <w:t>Advise staff to wear masks and gloves when checking players in, and wash hands often.</w:t>
            </w:r>
          </w:p>
          <w:p w14:paraId="3291D1B6" w14:textId="77777777" w:rsidR="00B53514" w:rsidRDefault="00FD571E">
            <w:pPr>
              <w:numPr>
                <w:ilvl w:val="0"/>
                <w:numId w:val="1"/>
              </w:numPr>
              <w:spacing w:before="120"/>
              <w:ind w:left="338" w:right="336"/>
              <w:cnfStyle w:val="000000100000" w:firstRow="0" w:lastRow="0" w:firstColumn="0" w:lastColumn="0" w:oddVBand="0" w:evenVBand="0" w:oddHBand="1" w:evenHBand="0" w:firstRowFirstColumn="0" w:firstRowLastColumn="0" w:lastRowFirstColumn="0" w:lastRowLastColumn="0"/>
              <w:rPr>
                <w:color w:val="000000"/>
                <w:sz w:val="20"/>
                <w:szCs w:val="20"/>
              </w:rPr>
            </w:pPr>
            <w:r>
              <w:rPr>
                <w:rFonts w:ascii="Arial" w:eastAsia="Arial" w:hAnsi="Arial" w:cs="Arial"/>
                <w:color w:val="000000"/>
                <w:sz w:val="20"/>
                <w:szCs w:val="20"/>
              </w:rPr>
              <w:t>Keep gates open (where possible, and not dangerous) to minimize contact with common surfaces upon entering/exiting the court.</w:t>
            </w:r>
          </w:p>
          <w:p w14:paraId="1F270E62" w14:textId="77777777" w:rsidR="00B53514" w:rsidRDefault="00FD571E">
            <w:pPr>
              <w:numPr>
                <w:ilvl w:val="0"/>
                <w:numId w:val="1"/>
              </w:numPr>
              <w:spacing w:before="120"/>
              <w:ind w:left="338" w:right="336"/>
              <w:cnfStyle w:val="000000100000" w:firstRow="0" w:lastRow="0" w:firstColumn="0" w:lastColumn="0" w:oddVBand="0" w:evenVBand="0" w:oddHBand="1" w:evenHBand="0" w:firstRowFirstColumn="0" w:firstRowLastColumn="0" w:lastRowFirstColumn="0" w:lastRowLastColumn="0"/>
              <w:rPr>
                <w:color w:val="000000"/>
                <w:sz w:val="20"/>
                <w:szCs w:val="20"/>
              </w:rPr>
            </w:pPr>
            <w:r>
              <w:rPr>
                <w:rFonts w:ascii="Arial" w:eastAsia="Arial" w:hAnsi="Arial" w:cs="Arial"/>
                <w:color w:val="000000"/>
                <w:sz w:val="20"/>
                <w:szCs w:val="20"/>
              </w:rPr>
              <w:t>Capture and retain accurate participant information in the event contact tracing becomes necessary.</w:t>
            </w:r>
          </w:p>
          <w:p w14:paraId="385F8238" w14:textId="77777777" w:rsidR="00B53514" w:rsidRDefault="00FD571E">
            <w:pPr>
              <w:numPr>
                <w:ilvl w:val="0"/>
                <w:numId w:val="1"/>
              </w:numPr>
              <w:spacing w:before="120"/>
              <w:ind w:left="338" w:right="336"/>
              <w:cnfStyle w:val="000000100000" w:firstRow="0" w:lastRow="0" w:firstColumn="0" w:lastColumn="0" w:oddVBand="0" w:evenVBand="0" w:oddHBand="1" w:evenHBand="0" w:firstRowFirstColumn="0" w:firstRowLastColumn="0" w:lastRowFirstColumn="0" w:lastRowLastColumn="0"/>
              <w:rPr>
                <w:color w:val="000000"/>
                <w:sz w:val="20"/>
                <w:szCs w:val="20"/>
              </w:rPr>
            </w:pPr>
            <w:r>
              <w:rPr>
                <w:rFonts w:ascii="Arial" w:eastAsia="Arial" w:hAnsi="Arial" w:cs="Arial"/>
                <w:color w:val="000000"/>
                <w:sz w:val="20"/>
                <w:szCs w:val="20"/>
              </w:rPr>
              <w:t>Observe social distancing in all areas:</w:t>
            </w:r>
          </w:p>
          <w:p w14:paraId="43137629" w14:textId="77777777" w:rsidR="00B53514" w:rsidRDefault="00FD571E">
            <w:pPr>
              <w:numPr>
                <w:ilvl w:val="1"/>
                <w:numId w:val="1"/>
              </w:numPr>
              <w:spacing w:before="120"/>
              <w:ind w:right="336"/>
              <w:cnfStyle w:val="000000100000" w:firstRow="0" w:lastRow="0" w:firstColumn="0" w:lastColumn="0" w:oddVBand="0" w:evenVBand="0" w:oddHBand="1" w:evenHBand="0" w:firstRowFirstColumn="0" w:firstRowLastColumn="0" w:lastRowFirstColumn="0" w:lastRowLastColumn="0"/>
              <w:rPr>
                <w:color w:val="000000"/>
                <w:sz w:val="20"/>
                <w:szCs w:val="20"/>
              </w:rPr>
            </w:pPr>
            <w:r>
              <w:rPr>
                <w:rFonts w:ascii="Arial" w:eastAsia="Arial" w:hAnsi="Arial" w:cs="Arial"/>
                <w:color w:val="000000"/>
                <w:sz w:val="20"/>
                <w:szCs w:val="20"/>
              </w:rPr>
              <w:t>Limit large congregations at the tournament desk, players’ lounge/locker rooms, and everywhere on site.</w:t>
            </w:r>
          </w:p>
          <w:p w14:paraId="5CA8D83D" w14:textId="77777777" w:rsidR="00B53514" w:rsidRDefault="00FD571E">
            <w:pPr>
              <w:numPr>
                <w:ilvl w:val="1"/>
                <w:numId w:val="1"/>
              </w:numPr>
              <w:spacing w:before="120"/>
              <w:ind w:right="336"/>
              <w:cnfStyle w:val="000000100000" w:firstRow="0" w:lastRow="0" w:firstColumn="0" w:lastColumn="0" w:oddVBand="0" w:evenVBand="0" w:oddHBand="1" w:evenHBand="0" w:firstRowFirstColumn="0" w:firstRowLastColumn="0" w:lastRowFirstColumn="0" w:lastRowLastColumn="0"/>
              <w:rPr>
                <w:color w:val="000000"/>
                <w:sz w:val="20"/>
                <w:szCs w:val="20"/>
              </w:rPr>
            </w:pPr>
            <w:r>
              <w:rPr>
                <w:rFonts w:ascii="Arial" w:eastAsia="Arial" w:hAnsi="Arial" w:cs="Arial"/>
                <w:color w:val="000000"/>
                <w:sz w:val="20"/>
                <w:szCs w:val="20"/>
              </w:rPr>
              <w:t>Designate areas for players to position personal items/equipment during play.</w:t>
            </w:r>
          </w:p>
          <w:p w14:paraId="547C71BA" w14:textId="77777777" w:rsidR="00B53514" w:rsidRDefault="00FD571E">
            <w:pPr>
              <w:numPr>
                <w:ilvl w:val="1"/>
                <w:numId w:val="1"/>
              </w:numPr>
              <w:spacing w:before="120"/>
              <w:ind w:right="336"/>
              <w:cnfStyle w:val="000000100000" w:firstRow="0" w:lastRow="0" w:firstColumn="0" w:lastColumn="0" w:oddVBand="0" w:evenVBand="0" w:oddHBand="1" w:evenHBand="0" w:firstRowFirstColumn="0" w:firstRowLastColumn="0" w:lastRowFirstColumn="0" w:lastRowLastColumn="0"/>
              <w:rPr>
                <w:color w:val="000000"/>
                <w:sz w:val="20"/>
                <w:szCs w:val="20"/>
              </w:rPr>
            </w:pPr>
            <w:r>
              <w:rPr>
                <w:rFonts w:ascii="Arial" w:eastAsia="Arial" w:hAnsi="Arial" w:cs="Arial"/>
                <w:color w:val="000000"/>
                <w:sz w:val="20"/>
                <w:szCs w:val="20"/>
              </w:rPr>
              <w:t>Only allow spectators if they can adhere to 6-foot social distancing guidelines.</w:t>
            </w:r>
          </w:p>
          <w:p w14:paraId="4523D70B" w14:textId="77777777" w:rsidR="00B53514" w:rsidRDefault="00FD571E">
            <w:pPr>
              <w:numPr>
                <w:ilvl w:val="0"/>
                <w:numId w:val="1"/>
              </w:numPr>
              <w:spacing w:before="120"/>
              <w:ind w:left="338" w:right="336"/>
              <w:cnfStyle w:val="000000100000" w:firstRow="0" w:lastRow="0" w:firstColumn="0" w:lastColumn="0" w:oddVBand="0" w:evenVBand="0" w:oddHBand="1" w:evenHBand="0" w:firstRowFirstColumn="0" w:firstRowLastColumn="0" w:lastRowFirstColumn="0" w:lastRowLastColumn="0"/>
              <w:rPr>
                <w:color w:val="000000"/>
                <w:sz w:val="20"/>
                <w:szCs w:val="20"/>
              </w:rPr>
            </w:pPr>
            <w:r>
              <w:rPr>
                <w:rFonts w:ascii="Arial" w:eastAsia="Arial" w:hAnsi="Arial" w:cs="Arial"/>
                <w:color w:val="000000"/>
                <w:sz w:val="20"/>
                <w:szCs w:val="20"/>
              </w:rPr>
              <w:t>Remove the following:</w:t>
            </w:r>
          </w:p>
          <w:p w14:paraId="0AFD9F1C" w14:textId="77777777" w:rsidR="00B53514" w:rsidRDefault="00FD571E">
            <w:pPr>
              <w:numPr>
                <w:ilvl w:val="1"/>
                <w:numId w:val="1"/>
              </w:numPr>
              <w:spacing w:before="120"/>
              <w:ind w:right="336"/>
              <w:cnfStyle w:val="000000100000" w:firstRow="0" w:lastRow="0" w:firstColumn="0" w:lastColumn="0" w:oddVBand="0" w:evenVBand="0" w:oddHBand="1" w:evenHBand="0" w:firstRowFirstColumn="0" w:firstRowLastColumn="0" w:lastRowFirstColumn="0" w:lastRowLastColumn="0"/>
              <w:rPr>
                <w:color w:val="000000"/>
                <w:sz w:val="20"/>
                <w:szCs w:val="20"/>
              </w:rPr>
            </w:pPr>
            <w:r>
              <w:rPr>
                <w:rFonts w:ascii="Arial" w:eastAsia="Arial" w:hAnsi="Arial" w:cs="Arial"/>
                <w:color w:val="000000"/>
                <w:sz w:val="20"/>
                <w:szCs w:val="20"/>
              </w:rPr>
              <w:t>Score tender from courts</w:t>
            </w:r>
          </w:p>
          <w:p w14:paraId="3ECDAE0B" w14:textId="77777777" w:rsidR="00B53514" w:rsidRDefault="00FD571E">
            <w:pPr>
              <w:numPr>
                <w:ilvl w:val="1"/>
                <w:numId w:val="1"/>
              </w:numPr>
              <w:spacing w:before="120"/>
              <w:ind w:right="336"/>
              <w:cnfStyle w:val="000000100000" w:firstRow="0" w:lastRow="0" w:firstColumn="0" w:lastColumn="0" w:oddVBand="0" w:evenVBand="0" w:oddHBand="1" w:evenHBand="0" w:firstRowFirstColumn="0" w:firstRowLastColumn="0" w:lastRowFirstColumn="0" w:lastRowLastColumn="0"/>
              <w:rPr>
                <w:color w:val="000000"/>
                <w:sz w:val="20"/>
                <w:szCs w:val="20"/>
              </w:rPr>
            </w:pPr>
            <w:r>
              <w:rPr>
                <w:rFonts w:ascii="Arial" w:eastAsia="Arial" w:hAnsi="Arial" w:cs="Arial"/>
                <w:color w:val="000000"/>
                <w:sz w:val="20"/>
                <w:szCs w:val="20"/>
              </w:rPr>
              <w:t>Line/Court sweeping equipment from general player use. (staff to manage)</w:t>
            </w:r>
          </w:p>
          <w:p w14:paraId="739AB0AA" w14:textId="77777777" w:rsidR="00B53514" w:rsidRDefault="00FD571E">
            <w:pPr>
              <w:numPr>
                <w:ilvl w:val="1"/>
                <w:numId w:val="1"/>
              </w:numPr>
              <w:spacing w:before="120"/>
              <w:ind w:right="336"/>
              <w:cnfStyle w:val="000000100000" w:firstRow="0" w:lastRow="0" w:firstColumn="0" w:lastColumn="0" w:oddVBand="0" w:evenVBand="0" w:oddHBand="1" w:evenHBand="0" w:firstRowFirstColumn="0" w:firstRowLastColumn="0" w:lastRowFirstColumn="0" w:lastRowLastColumn="0"/>
              <w:rPr>
                <w:color w:val="000000"/>
                <w:sz w:val="20"/>
                <w:szCs w:val="20"/>
              </w:rPr>
            </w:pPr>
            <w:r>
              <w:rPr>
                <w:rFonts w:ascii="Arial" w:eastAsia="Arial" w:hAnsi="Arial" w:cs="Arial"/>
                <w:color w:val="000000"/>
                <w:sz w:val="20"/>
                <w:szCs w:val="20"/>
              </w:rPr>
              <w:t>Water coolers or stations from the courts.</w:t>
            </w:r>
          </w:p>
          <w:p w14:paraId="10784D57" w14:textId="77777777" w:rsidR="00B53514" w:rsidRDefault="00FD571E">
            <w:pPr>
              <w:numPr>
                <w:ilvl w:val="1"/>
                <w:numId w:val="1"/>
              </w:numPr>
              <w:spacing w:before="120"/>
              <w:ind w:right="336"/>
              <w:cnfStyle w:val="000000100000" w:firstRow="0" w:lastRow="0" w:firstColumn="0" w:lastColumn="0" w:oddVBand="0" w:evenVBand="0" w:oddHBand="1" w:evenHBand="0" w:firstRowFirstColumn="0" w:firstRowLastColumn="0" w:lastRowFirstColumn="0" w:lastRowLastColumn="0"/>
              <w:rPr>
                <w:color w:val="000000"/>
                <w:sz w:val="20"/>
                <w:szCs w:val="20"/>
              </w:rPr>
            </w:pPr>
            <w:r>
              <w:rPr>
                <w:rFonts w:ascii="Arial" w:eastAsia="Arial" w:hAnsi="Arial" w:cs="Arial"/>
                <w:color w:val="000000"/>
                <w:sz w:val="20"/>
                <w:szCs w:val="20"/>
              </w:rPr>
              <w:t>Food offerings in common areas (fruit, granola bars, etc.)</w:t>
            </w:r>
          </w:p>
        </w:tc>
      </w:tr>
    </w:tbl>
    <w:p w14:paraId="7A153AA8" w14:textId="77777777" w:rsidR="00B53514" w:rsidRDefault="00B53514">
      <w:pPr>
        <w:rPr>
          <w:rFonts w:ascii="Arial" w:eastAsia="Arial" w:hAnsi="Arial" w:cs="Arial"/>
          <w:color w:val="000000"/>
          <w:sz w:val="16"/>
          <w:szCs w:val="16"/>
        </w:rPr>
      </w:pPr>
    </w:p>
    <w:sectPr w:rsidR="00B53514">
      <w:footerReference w:type="default" r:id="rId11"/>
      <w:pgSz w:w="12240" w:h="15840"/>
      <w:pgMar w:top="763" w:right="720" w:bottom="360" w:left="720" w:header="720" w:footer="33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C3CE6" w14:textId="77777777" w:rsidR="00866CDC" w:rsidRDefault="00866CDC">
      <w:r>
        <w:separator/>
      </w:r>
    </w:p>
  </w:endnote>
  <w:endnote w:type="continuationSeparator" w:id="0">
    <w:p w14:paraId="36A66795" w14:textId="77777777" w:rsidR="00866CDC" w:rsidRDefault="00866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56E54" w14:textId="77777777" w:rsidR="00B53514" w:rsidRDefault="00FD571E">
    <w:pPr>
      <w:pBdr>
        <w:top w:val="nil"/>
        <w:left w:val="nil"/>
        <w:bottom w:val="nil"/>
        <w:right w:val="nil"/>
        <w:between w:val="nil"/>
      </w:pBdr>
      <w:tabs>
        <w:tab w:val="right" w:pos="9020"/>
      </w:tabs>
      <w:ind w:left="270"/>
      <w:rPr>
        <w:rFonts w:ascii="Helvetica Neue" w:eastAsia="Helvetica Neue" w:hAnsi="Helvetica Neue" w:cs="Helvetica Neue"/>
        <w:color w:val="000000"/>
      </w:rPr>
    </w:pPr>
    <w:r>
      <w:rPr>
        <w:rFonts w:ascii="Arial" w:eastAsia="Arial" w:hAnsi="Arial" w:cs="Arial"/>
        <w:noProof/>
        <w:color w:val="000000"/>
      </w:rPr>
      <w:drawing>
        <wp:inline distT="0" distB="0" distL="0" distR="0" wp14:anchorId="45B64151" wp14:editId="7BF48EA6">
          <wp:extent cx="1338658" cy="481081"/>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38658" cy="481081"/>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779A2" w14:textId="77777777" w:rsidR="00866CDC" w:rsidRDefault="00866CDC">
      <w:r>
        <w:separator/>
      </w:r>
    </w:p>
  </w:footnote>
  <w:footnote w:type="continuationSeparator" w:id="0">
    <w:p w14:paraId="5211B9F0" w14:textId="77777777" w:rsidR="00866CDC" w:rsidRDefault="00866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819A8"/>
    <w:multiLevelType w:val="multilevel"/>
    <w:tmpl w:val="F710DAA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72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514"/>
    <w:rsid w:val="007F3C34"/>
    <w:rsid w:val="00866CDC"/>
    <w:rsid w:val="00B53514"/>
    <w:rsid w:val="00E67FEC"/>
    <w:rsid w:val="00FD5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FC349"/>
  <w15:docId w15:val="{F45D3D5B-D78A-4529-9271-F3E58A63A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501763"/>
      <w:sz w:val="22"/>
      <w:szCs w:val="22"/>
    </w:rPr>
    <w:tblPr>
      <w:tblStyleRowBandSize w:val="1"/>
      <w:tblStyleColBandSize w:val="1"/>
    </w:tblPr>
    <w:tblStylePr w:type="firstRow">
      <w:pPr>
        <w:spacing w:before="0" w:after="0" w:line="240" w:lineRule="auto"/>
      </w:pPr>
      <w:rPr>
        <w:b/>
        <w:color w:val="FFFFFF"/>
      </w:rPr>
      <w:tblPr/>
      <w:tcPr>
        <w:shd w:val="clear" w:color="auto" w:fill="8064A2"/>
      </w:tcPr>
    </w:tblStylePr>
    <w:tblStylePr w:type="lastRow">
      <w:pPr>
        <w:spacing w:before="0" w:after="0" w:line="240" w:lineRule="auto"/>
      </w:pPr>
      <w:rPr>
        <w:b/>
      </w:rPr>
      <w:tblPr/>
      <w:tcPr>
        <w:tcBorders>
          <w:top w:val="single" w:sz="6" w:space="0" w:color="8064A2"/>
          <w:left w:val="single" w:sz="8" w:space="0" w:color="8064A2"/>
          <w:bottom w:val="single" w:sz="8" w:space="0" w:color="8064A2"/>
          <w:right w:val="single" w:sz="8" w:space="0" w:color="8064A2"/>
        </w:tcBorders>
      </w:tcPr>
    </w:tblStylePr>
    <w:tblStylePr w:type="firstCol">
      <w:rPr>
        <w:b/>
      </w:rPr>
    </w:tblStylePr>
    <w:tblStylePr w:type="lastCol">
      <w:rPr>
        <w:b/>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styleId="Header">
    <w:name w:val="header"/>
    <w:basedOn w:val="Normal"/>
    <w:link w:val="HeaderChar"/>
    <w:uiPriority w:val="99"/>
    <w:unhideWhenUsed/>
    <w:rsid w:val="002F155C"/>
    <w:pPr>
      <w:tabs>
        <w:tab w:val="center" w:pos="4680"/>
        <w:tab w:val="right" w:pos="9360"/>
      </w:tabs>
    </w:pPr>
  </w:style>
  <w:style w:type="character" w:customStyle="1" w:styleId="HeaderChar">
    <w:name w:val="Header Char"/>
    <w:basedOn w:val="DefaultParagraphFont"/>
    <w:link w:val="Header"/>
    <w:uiPriority w:val="99"/>
    <w:rsid w:val="002F155C"/>
  </w:style>
  <w:style w:type="paragraph" w:styleId="Footer">
    <w:name w:val="footer"/>
    <w:basedOn w:val="Normal"/>
    <w:link w:val="FooterChar"/>
    <w:uiPriority w:val="99"/>
    <w:unhideWhenUsed/>
    <w:rsid w:val="002F155C"/>
    <w:pPr>
      <w:tabs>
        <w:tab w:val="center" w:pos="4680"/>
        <w:tab w:val="right" w:pos="9360"/>
      </w:tabs>
    </w:pPr>
  </w:style>
  <w:style w:type="character" w:customStyle="1" w:styleId="FooterChar">
    <w:name w:val="Footer Char"/>
    <w:basedOn w:val="DefaultParagraphFont"/>
    <w:link w:val="Footer"/>
    <w:uiPriority w:val="99"/>
    <w:rsid w:val="002F155C"/>
  </w:style>
  <w:style w:type="paragraph" w:styleId="ListParagraph">
    <w:name w:val="List Paragraph"/>
    <w:basedOn w:val="Normal"/>
    <w:uiPriority w:val="34"/>
    <w:qFormat/>
    <w:rsid w:val="00BF2EA6"/>
    <w:pPr>
      <w:ind w:left="720"/>
      <w:contextualSpacing/>
    </w:p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color w:val="501763"/>
      <w:sz w:val="22"/>
      <w:szCs w:val="22"/>
    </w:rPr>
    <w:tblPr>
      <w:tblStyleRowBandSize w:val="1"/>
      <w:tblStyleColBandSize w:val="1"/>
    </w:tblPr>
    <w:tblStylePr w:type="firstRow">
      <w:pPr>
        <w:spacing w:before="0" w:after="0" w:line="240" w:lineRule="auto"/>
      </w:pPr>
      <w:rPr>
        <w:b/>
        <w:color w:val="FFFFFF"/>
      </w:rPr>
      <w:tblPr/>
      <w:tcPr>
        <w:shd w:val="clear" w:color="auto" w:fill="8064A2"/>
      </w:tcPr>
    </w:tblStylePr>
    <w:tblStylePr w:type="lastRow">
      <w:pPr>
        <w:spacing w:before="0" w:after="0" w:line="240" w:lineRule="auto"/>
      </w:pPr>
      <w:rPr>
        <w:b/>
      </w:rPr>
      <w:tblPr/>
      <w:tcPr>
        <w:tcBorders>
          <w:top w:val="single" w:sz="6" w:space="0" w:color="8064A2"/>
          <w:left w:val="single" w:sz="8" w:space="0" w:color="8064A2"/>
          <w:bottom w:val="single" w:sz="8" w:space="0" w:color="8064A2"/>
          <w:right w:val="single" w:sz="8" w:space="0" w:color="8064A2"/>
        </w:tcBorders>
      </w:tcPr>
    </w:tblStylePr>
    <w:tblStylePr w:type="firstCol">
      <w:rPr>
        <w:b/>
      </w:rPr>
    </w:tblStylePr>
    <w:tblStylePr w:type="lastCol">
      <w:rPr>
        <w:b/>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G9yI46dK2udmy9pUnSPf8Wu6vQ==">AMUW2mXWOwuyF5oMK4fP/Eolpl0oA3NtBJfO091aB3TqgScyLvWADu/pk4Vu7YeULvKb3wXy4UQIECbMJciTvplw60EqY6xEzRXbLiCENHF2el9VLETi3SmYXQdqmhmPYqHwfy8GoM7u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2492</Characters>
  <Application>Microsoft Office Word</Application>
  <DocSecurity>0</DocSecurity>
  <Lines>20</Lines>
  <Paragraphs>5</Paragraphs>
  <ScaleCrop>false</ScaleCrop>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Maragos</dc:creator>
  <cp:lastModifiedBy>Maureen Caruso</cp:lastModifiedBy>
  <cp:revision>2</cp:revision>
  <cp:lastPrinted>2020-05-18T21:19:00Z</cp:lastPrinted>
  <dcterms:created xsi:type="dcterms:W3CDTF">2020-09-05T14:32:00Z</dcterms:created>
  <dcterms:modified xsi:type="dcterms:W3CDTF">2020-09-05T14:32:00Z</dcterms:modified>
</cp:coreProperties>
</file>